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lang w:val="en-US" w:eastAsia="zh-CN"/>
        </w:rPr>
      </w:pPr>
    </w:p>
    <w:p>
      <w:pPr>
        <w:jc w:val="center"/>
        <w:rPr>
          <w:rFonts w:hint="default" w:ascii="Times New Roman" w:hAnsi="Times New Roman" w:eastAsia="方正小标宋_GBK" w:cs="Times New Roman"/>
          <w:sz w:val="44"/>
          <w:szCs w:val="44"/>
          <w:lang w:val="en-US" w:eastAsia="zh-CN"/>
        </w:rPr>
      </w:pPr>
    </w:p>
    <w:p>
      <w:pPr>
        <w:jc w:val="center"/>
        <w:rPr>
          <w:rFonts w:hint="default" w:ascii="Times New Roman" w:hAnsi="Times New Roman" w:eastAsia="方正小标宋_GBK" w:cs="Times New Roman"/>
          <w:sz w:val="44"/>
          <w:szCs w:val="44"/>
          <w:lang w:val="en-US" w:eastAsia="zh-CN"/>
        </w:rPr>
      </w:pPr>
    </w:p>
    <w:p>
      <w:pPr>
        <w:jc w:val="center"/>
        <w:rPr>
          <w:rFonts w:hint="default" w:ascii="Times New Roman" w:hAnsi="Times New Roman" w:eastAsia="方正小标宋_GBK" w:cs="Times New Roman"/>
          <w:sz w:val="44"/>
          <w:szCs w:val="44"/>
          <w:lang w:val="en-US" w:eastAsia="zh-CN"/>
        </w:rPr>
      </w:pPr>
    </w:p>
    <w:p>
      <w:pPr>
        <w:jc w:val="center"/>
        <w:rPr>
          <w:rFonts w:hint="default" w:ascii="Times New Roman" w:hAnsi="Times New Roman" w:eastAsia="方正小标宋_GBK" w:cs="Times New Roman"/>
          <w:sz w:val="44"/>
          <w:szCs w:val="44"/>
          <w:lang w:val="en-US" w:eastAsia="zh-CN"/>
        </w:rPr>
      </w:pPr>
    </w:p>
    <w:p>
      <w:pPr>
        <w:jc w:val="center"/>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沁阳市人民政府办公室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sz w:val="44"/>
          <w:szCs w:val="44"/>
          <w:lang w:val="en-US" w:eastAsia="zh-CN"/>
        </w:rPr>
        <w:t>沁阳市</w:t>
      </w:r>
      <w:r>
        <w:rPr>
          <w:rFonts w:hint="default" w:ascii="Times New Roman" w:hAnsi="Times New Roman" w:eastAsia="方正小标宋简体" w:cs="Times New Roman"/>
          <w:sz w:val="44"/>
          <w:szCs w:val="44"/>
        </w:rPr>
        <w:t>重点上市后备企业资源库管理办法》的通知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各乡（镇）人民政府、办事处，</w:t>
      </w:r>
      <w:r>
        <w:rPr>
          <w:rFonts w:hint="default" w:ascii="Times New Roman" w:hAnsi="Times New Roman" w:eastAsia="仿宋" w:cs="Times New Roman"/>
          <w:sz w:val="32"/>
          <w:szCs w:val="32"/>
          <w:lang w:val="en-US" w:eastAsia="zh-CN"/>
        </w:rPr>
        <w:t>市科工</w:t>
      </w:r>
      <w:r>
        <w:rPr>
          <w:rFonts w:hint="eastAsia" w:ascii="Times New Roman" w:hAnsi="Times New Roman" w:eastAsia="仿宋" w:cs="Times New Roman"/>
          <w:sz w:val="32"/>
          <w:szCs w:val="32"/>
          <w:lang w:val="en-US" w:eastAsia="zh-CN"/>
        </w:rPr>
        <w:t>局</w:t>
      </w:r>
      <w:r>
        <w:rPr>
          <w:rFonts w:hint="default" w:ascii="Times New Roman" w:hAnsi="Times New Roman" w:eastAsia="仿宋" w:cs="Times New Roman"/>
          <w:sz w:val="32"/>
          <w:szCs w:val="32"/>
          <w:lang w:val="en-US" w:eastAsia="zh-CN"/>
        </w:rPr>
        <w:t>、产业集聚区</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现将《沁阳市重点上市后备企业资源库管理办法》予以印发，请遵照执行。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方正小标宋_GBK"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4840" w:hanging="4840" w:hangingChars="11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2021年3月  日</w:t>
      </w:r>
    </w:p>
    <w:p>
      <w:pP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沁阳市重点上市后备企业资源库管理办法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为加大金融服务实体经济力度，进一步做好重点上市后备企业的培育工作，集中力量扶持一批优质后备企 业加快上市进程，加强对重点上市后备企业资源库管理，特制定本办法。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重点上市后备企业资源库指符合国家产业政策、主营业务突出、市场认可度高、科技创新能力强、成长 性较好、发展潜力较大，经过培育孵化后能够达到沪深证券交易所或海外证券交易市场主板上市要求，注册地为我</w:t>
      </w:r>
      <w:r>
        <w:rPr>
          <w:rFonts w:hint="default" w:ascii="Times New Roman" w:hAnsi="Times New Roman" w:eastAsia="仿宋" w:cs="Times New Roman"/>
          <w:sz w:val="32"/>
          <w:szCs w:val="32"/>
          <w:lang w:val="en-US" w:eastAsia="zh-CN"/>
        </w:rPr>
        <w:t>市</w:t>
      </w:r>
      <w:r>
        <w:rPr>
          <w:rFonts w:hint="default" w:ascii="Times New Roman" w:hAnsi="Times New Roman" w:eastAsia="仿宋" w:cs="Times New Roman"/>
          <w:sz w:val="32"/>
          <w:szCs w:val="32"/>
        </w:rPr>
        <w:t>的企业群体。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企业入库条件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企业注册地在</w:t>
      </w:r>
      <w:r>
        <w:rPr>
          <w:rFonts w:hint="default" w:ascii="Times New Roman" w:hAnsi="Times New Roman" w:eastAsia="仿宋" w:cs="Times New Roman"/>
          <w:sz w:val="32"/>
          <w:szCs w:val="32"/>
          <w:lang w:val="en-US" w:eastAsia="zh-CN"/>
        </w:rPr>
        <w:t>沁阳市</w:t>
      </w:r>
      <w:r>
        <w:rPr>
          <w:rFonts w:hint="default" w:ascii="Times New Roman" w:hAnsi="Times New Roman" w:eastAsia="仿宋" w:cs="Times New Roman"/>
          <w:sz w:val="32"/>
          <w:szCs w:val="32"/>
        </w:rPr>
        <w:t>辖区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最近两年营业收入年均不低于</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000万元或最近一年营业收入不低于</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优先支持</w:t>
      </w:r>
      <w:r>
        <w:rPr>
          <w:rFonts w:hint="default" w:ascii="Times New Roman" w:hAnsi="Times New Roman" w:eastAsia="仿宋" w:cs="Times New Roman"/>
          <w:sz w:val="32"/>
          <w:szCs w:val="32"/>
          <w:lang w:val="en-US" w:eastAsia="zh-CN"/>
        </w:rPr>
        <w:t>高新技术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绿色低碳、资源循环利用、</w:t>
      </w:r>
      <w:r>
        <w:rPr>
          <w:rFonts w:hint="default" w:ascii="Times New Roman" w:hAnsi="Times New Roman" w:eastAsia="仿宋" w:cs="Times New Roman"/>
          <w:sz w:val="32"/>
          <w:szCs w:val="32"/>
        </w:rPr>
        <w:t>农业产业化重点龙头企业纳入重点上市后备企业。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入库申报程序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（一）</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t>企业申报。</w:t>
      </w:r>
      <w:r>
        <w:rPr>
          <w:rFonts w:hint="default" w:ascii="Times New Roman" w:hAnsi="Times New Roman" w:eastAsia="仿宋" w:cs="Times New Roman"/>
          <w:sz w:val="32"/>
          <w:szCs w:val="32"/>
        </w:rPr>
        <w:t>各乡（镇）办事处、市科工</w:t>
      </w:r>
      <w:r>
        <w:rPr>
          <w:rFonts w:hint="eastAsia" w:ascii="Times New Roman" w:hAnsi="Times New Roman" w:eastAsia="仿宋" w:cs="Times New Roman"/>
          <w:sz w:val="32"/>
          <w:szCs w:val="32"/>
          <w:lang w:eastAsia="zh-CN"/>
        </w:rPr>
        <w:t>局</w:t>
      </w:r>
      <w:r>
        <w:rPr>
          <w:rFonts w:hint="default" w:ascii="Times New Roman" w:hAnsi="Times New Roman" w:eastAsia="仿宋" w:cs="Times New Roman"/>
          <w:sz w:val="32"/>
          <w:szCs w:val="32"/>
        </w:rPr>
        <w:t>、产业集聚区组织</w:t>
      </w:r>
      <w:r>
        <w:rPr>
          <w:rFonts w:hint="default" w:ascii="Times New Roman" w:hAnsi="Times New Roman" w:eastAsia="仿宋" w:cs="Times New Roman"/>
          <w:sz w:val="32"/>
          <w:szCs w:val="32"/>
          <w:lang w:val="en-US" w:eastAsia="zh-CN"/>
        </w:rPr>
        <w:t>本辖区或归口管理</w:t>
      </w:r>
      <w:r>
        <w:rPr>
          <w:rFonts w:hint="default" w:ascii="Times New Roman" w:hAnsi="Times New Roman" w:eastAsia="仿宋" w:cs="Times New Roman"/>
          <w:sz w:val="32"/>
          <w:szCs w:val="32"/>
        </w:rPr>
        <w:t>企业的申报</w:t>
      </w:r>
      <w:bookmarkStart w:id="0" w:name="_GoBack"/>
      <w:bookmarkEnd w:id="0"/>
      <w:r>
        <w:rPr>
          <w:rFonts w:hint="default" w:ascii="Times New Roman" w:hAnsi="Times New Roman" w:eastAsia="仿宋" w:cs="Times New Roman"/>
          <w:sz w:val="32"/>
          <w:szCs w:val="32"/>
          <w:lang w:val="en-US" w:eastAsia="zh-CN"/>
        </w:rPr>
        <w:t>工作</w:t>
      </w:r>
      <w:r>
        <w:rPr>
          <w:rFonts w:hint="default" w:ascii="Times New Roman" w:hAnsi="Times New Roman" w:eastAsia="仿宋" w:cs="Times New Roman"/>
          <w:sz w:val="32"/>
          <w:szCs w:val="32"/>
        </w:rPr>
        <w:t>，每季度首月把</w:t>
      </w:r>
      <w:r>
        <w:rPr>
          <w:rFonts w:hint="default" w:ascii="Times New Roman" w:hAnsi="Times New Roman" w:eastAsia="仿宋" w:cs="Times New Roman"/>
          <w:sz w:val="32"/>
          <w:szCs w:val="32"/>
          <w:lang w:val="en-US" w:eastAsia="zh-CN"/>
        </w:rPr>
        <w:t>企业填报的《沁阳市重点上市后备企业申报表》（详见附件）及其他相关材料</w:t>
      </w:r>
      <w:r>
        <w:rPr>
          <w:rFonts w:hint="default" w:ascii="Times New Roman" w:hAnsi="Times New Roman" w:eastAsia="仿宋" w:cs="Times New Roman"/>
          <w:sz w:val="32"/>
          <w:szCs w:val="32"/>
        </w:rPr>
        <w:t>汇总</w:t>
      </w:r>
      <w:r>
        <w:rPr>
          <w:rFonts w:hint="default" w:ascii="Times New Roman" w:hAnsi="Times New Roman" w:eastAsia="仿宋" w:cs="Times New Roman"/>
          <w:sz w:val="32"/>
          <w:szCs w:val="32"/>
          <w:lang w:val="en-US" w:eastAsia="zh-CN"/>
        </w:rPr>
        <w:t>后</w:t>
      </w:r>
      <w:r>
        <w:rPr>
          <w:rFonts w:hint="default" w:ascii="Times New Roman" w:hAnsi="Times New Roman" w:eastAsia="仿宋" w:cs="Times New Roman"/>
          <w:sz w:val="32"/>
          <w:szCs w:val="32"/>
        </w:rPr>
        <w:t>报送</w:t>
      </w:r>
      <w:r>
        <w:rPr>
          <w:rFonts w:hint="default" w:ascii="Times New Roman" w:hAnsi="Times New Roman" w:eastAsia="仿宋" w:cs="Times New Roman"/>
          <w:sz w:val="32"/>
          <w:szCs w:val="32"/>
          <w:lang w:val="en-US" w:eastAsia="zh-CN"/>
        </w:rPr>
        <w:t>至市金融投资服务中心</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（二）</w:t>
      </w:r>
      <w:r>
        <w:rPr>
          <w:rFonts w:hint="default" w:ascii="Times New Roman" w:hAnsi="Times New Roman" w:eastAsia="仿宋" w:cs="Times New Roman"/>
          <w:b/>
          <w:bCs/>
          <w:sz w:val="32"/>
          <w:szCs w:val="32"/>
          <w:lang w:val="en-US" w:eastAsia="zh-CN"/>
        </w:rPr>
        <w:t>调研审核</w:t>
      </w:r>
      <w:r>
        <w:rPr>
          <w:rFonts w:hint="default" w:ascii="Times New Roman" w:hAnsi="Times New Roman" w:eastAsia="仿宋" w:cs="Times New Roman"/>
          <w:b/>
          <w:bCs/>
          <w:sz w:val="32"/>
          <w:szCs w:val="32"/>
        </w:rPr>
        <w:t>。</w:t>
      </w:r>
      <w:r>
        <w:rPr>
          <w:rFonts w:hint="default" w:ascii="Times New Roman" w:hAnsi="Times New Roman" w:eastAsia="仿宋" w:cs="Times New Roman"/>
          <w:sz w:val="32"/>
          <w:szCs w:val="32"/>
          <w:lang w:val="en-US" w:eastAsia="zh-CN"/>
        </w:rPr>
        <w:t>市金融投资服务中心收到申报材料后，结合</w:t>
      </w:r>
      <w:r>
        <w:rPr>
          <w:rFonts w:hint="default" w:ascii="Times New Roman" w:hAnsi="Times New Roman" w:eastAsia="仿宋" w:cs="Times New Roman"/>
          <w:sz w:val="32"/>
          <w:szCs w:val="32"/>
        </w:rPr>
        <w:t>各乡（镇）办事处、市科工</w:t>
      </w:r>
      <w:r>
        <w:rPr>
          <w:rFonts w:hint="eastAsia" w:ascii="Times New Roman" w:hAnsi="Times New Roman" w:eastAsia="仿宋" w:cs="Times New Roman"/>
          <w:sz w:val="32"/>
          <w:szCs w:val="32"/>
          <w:lang w:eastAsia="zh-CN"/>
        </w:rPr>
        <w:t>局</w:t>
      </w:r>
      <w:r>
        <w:rPr>
          <w:rFonts w:hint="default" w:ascii="Times New Roman" w:hAnsi="Times New Roman" w:eastAsia="仿宋" w:cs="Times New Roman"/>
          <w:sz w:val="32"/>
          <w:szCs w:val="32"/>
        </w:rPr>
        <w:t>、产业集聚区</w:t>
      </w:r>
      <w:r>
        <w:rPr>
          <w:rFonts w:hint="default" w:ascii="Times New Roman" w:hAnsi="Times New Roman" w:eastAsia="仿宋" w:cs="Times New Roman"/>
          <w:sz w:val="32"/>
          <w:szCs w:val="32"/>
          <w:lang w:val="en-US" w:eastAsia="zh-CN"/>
        </w:rPr>
        <w:t>，对</w:t>
      </w:r>
      <w:r>
        <w:rPr>
          <w:rFonts w:hint="default" w:ascii="Times New Roman" w:hAnsi="Times New Roman" w:eastAsia="仿宋" w:cs="Times New Roman"/>
          <w:sz w:val="32"/>
          <w:szCs w:val="32"/>
        </w:rPr>
        <w:t>申报</w:t>
      </w:r>
      <w:r>
        <w:rPr>
          <w:rFonts w:hint="default" w:ascii="Times New Roman" w:hAnsi="Times New Roman" w:eastAsia="仿宋" w:cs="Times New Roman"/>
          <w:sz w:val="32"/>
          <w:szCs w:val="32"/>
          <w:lang w:val="en-US" w:eastAsia="zh-CN"/>
        </w:rPr>
        <w:t>企业进行实地调研，并根据调研情况，形成初步审核意见后报请市政府批准认定</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（三）</w:t>
      </w:r>
      <w:r>
        <w:rPr>
          <w:rFonts w:hint="default" w:ascii="Times New Roman" w:hAnsi="Times New Roman" w:eastAsia="仿宋" w:cs="Times New Roman"/>
          <w:b/>
          <w:bCs/>
          <w:sz w:val="32"/>
          <w:szCs w:val="32"/>
          <w:lang w:val="en-US" w:eastAsia="zh-CN"/>
        </w:rPr>
        <w:t>入库公布</w:t>
      </w:r>
      <w:r>
        <w:rPr>
          <w:rFonts w:hint="default" w:ascii="Times New Roman" w:hAnsi="Times New Roman" w:eastAsia="仿宋" w:cs="Times New Roman"/>
          <w:b/>
          <w:bCs/>
          <w:sz w:val="32"/>
          <w:szCs w:val="32"/>
        </w:rPr>
        <w:t>。</w:t>
      </w:r>
      <w:r>
        <w:rPr>
          <w:rFonts w:hint="default" w:ascii="Times New Roman" w:hAnsi="Times New Roman" w:eastAsia="仿宋" w:cs="Times New Roman"/>
          <w:sz w:val="32"/>
          <w:szCs w:val="32"/>
          <w:lang w:val="en-US" w:eastAsia="zh-CN"/>
        </w:rPr>
        <w:t>根据市政府审核意见，市金融投资服务中心定期</w:t>
      </w:r>
      <w:r>
        <w:rPr>
          <w:rFonts w:hint="default" w:ascii="Times New Roman" w:hAnsi="Times New Roman" w:eastAsia="仿宋" w:cs="Times New Roman"/>
          <w:sz w:val="32"/>
          <w:szCs w:val="32"/>
        </w:rPr>
        <w:t>向社会公布</w:t>
      </w:r>
      <w:r>
        <w:rPr>
          <w:rFonts w:hint="default" w:ascii="Times New Roman" w:hAnsi="Times New Roman" w:eastAsia="仿宋" w:cs="Times New Roman"/>
          <w:sz w:val="32"/>
          <w:szCs w:val="32"/>
          <w:lang w:val="en-US" w:eastAsia="zh-CN"/>
        </w:rPr>
        <w:t>我市</w:t>
      </w:r>
      <w:r>
        <w:rPr>
          <w:rFonts w:hint="default" w:ascii="Times New Roman" w:hAnsi="Times New Roman" w:eastAsia="仿宋" w:cs="Times New Roman"/>
          <w:sz w:val="32"/>
          <w:szCs w:val="32"/>
        </w:rPr>
        <w:t>重点上市后备企业资源库入库名单。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第六条</w:t>
      </w:r>
      <w:r>
        <w:rPr>
          <w:rFonts w:hint="default" w:ascii="Times New Roman" w:hAnsi="Times New Roman" w:eastAsia="仿宋" w:cs="Times New Roman"/>
          <w:sz w:val="32"/>
          <w:szCs w:val="32"/>
          <w:lang w:val="en-US" w:eastAsia="zh-CN"/>
        </w:rPr>
        <w:t xml:space="preserve">  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lang w:val="en-US" w:eastAsia="zh-CN"/>
        </w:rPr>
        <w:tab/>
      </w:r>
      <w:r>
        <w:rPr>
          <w:rFonts w:hint="default" w:ascii="Times New Roman" w:hAnsi="Times New Roman" w:eastAsia="仿宋" w:cs="Times New Roman"/>
          <w:sz w:val="32"/>
          <w:szCs w:val="32"/>
          <w:lang w:val="en-US" w:eastAsia="zh-CN"/>
        </w:rPr>
        <w:t>企业基本情况（包括公司全称、经营范围、主营业务、注册日期、注册地、股本或注册资本等）。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lang w:val="en-US" w:eastAsia="zh-CN"/>
        </w:rPr>
        <w:tab/>
      </w:r>
      <w:r>
        <w:rPr>
          <w:rFonts w:hint="default" w:ascii="Times New Roman" w:hAnsi="Times New Roman" w:eastAsia="仿宋" w:cs="Times New Roman"/>
          <w:sz w:val="32"/>
          <w:szCs w:val="32"/>
          <w:lang w:val="en-US" w:eastAsia="zh-CN"/>
        </w:rPr>
        <w:t>股权结构及历次变更情况。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lang w:val="en-US" w:eastAsia="zh-CN"/>
        </w:rPr>
        <w:tab/>
      </w:r>
      <w:r>
        <w:rPr>
          <w:rFonts w:hint="default" w:ascii="Times New Roman" w:hAnsi="Times New Roman" w:eastAsia="仿宋" w:cs="Times New Roman"/>
          <w:sz w:val="32"/>
          <w:szCs w:val="32"/>
          <w:lang w:val="en-US" w:eastAsia="zh-CN"/>
        </w:rPr>
        <w:t>近3年生产、技术研发、营销模式及销售情况。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lang w:val="en-US" w:eastAsia="zh-CN"/>
        </w:rPr>
        <w:tab/>
      </w:r>
      <w:r>
        <w:rPr>
          <w:rFonts w:hint="default" w:ascii="Times New Roman" w:hAnsi="Times New Roman" w:eastAsia="仿宋" w:cs="Times New Roman"/>
          <w:sz w:val="32"/>
          <w:szCs w:val="32"/>
          <w:lang w:val="en-US" w:eastAsia="zh-CN"/>
        </w:rPr>
        <w:t>企业的竞争优势、行业地位及发展前景。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lang w:val="en-US" w:eastAsia="zh-CN"/>
        </w:rPr>
        <w:tab/>
      </w:r>
      <w:r>
        <w:rPr>
          <w:rFonts w:hint="default" w:ascii="Times New Roman" w:hAnsi="Times New Roman" w:eastAsia="仿宋" w:cs="Times New Roman"/>
          <w:sz w:val="32"/>
          <w:szCs w:val="32"/>
          <w:lang w:val="en-US" w:eastAsia="zh-CN"/>
        </w:rPr>
        <w:t>近3年财务年度报表。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第七条</w:t>
      </w:r>
      <w:r>
        <w:rPr>
          <w:rFonts w:hint="default" w:ascii="Times New Roman" w:hAnsi="Times New Roman" w:eastAsia="仿宋" w:cs="Times New Roman"/>
          <w:sz w:val="32"/>
          <w:szCs w:val="32"/>
          <w:lang w:val="en-US" w:eastAsia="zh-CN"/>
        </w:rPr>
        <w:t xml:space="preserve">  后续服务管理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（一）入库企业享受“绿色通道”服务，相关职能部门在依法依规的前提下简化程序，为上市后备企业办理有关手续证明，扫清上市障碍</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提供优质、便捷、高效的服务。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（二）入库企业可享受企业上市挂牌奖补政策，优先纳入各类专项资金支持，优先参加市金融部门组织的企业上市规范治理、财税法务等业务培训及投融资对接服务。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（三）入库后备企业优先享受改制辅导、私募融资、奖补申报、培训咨询、外出考察学习等服务。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第八条</w:t>
      </w:r>
      <w:r>
        <w:rPr>
          <w:rFonts w:hint="default" w:ascii="Times New Roman" w:hAnsi="Times New Roman" w:eastAsia="仿宋" w:cs="Times New Roman"/>
          <w:sz w:val="32"/>
          <w:szCs w:val="32"/>
          <w:lang w:val="en-US" w:eastAsia="zh-CN"/>
        </w:rPr>
        <w:t xml:space="preserve">  重点上市后备企业资源库实施动态管理，有下 列情况之一的，不再纳入重点上市后备企业资源库：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（一）企业入库后两年内，上市工作无实质性进展。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lang w:val="en-US" w:eastAsia="zh-CN"/>
        </w:rPr>
        <w:tab/>
      </w:r>
      <w:r>
        <w:rPr>
          <w:rFonts w:hint="default" w:ascii="Times New Roman" w:hAnsi="Times New Roman" w:eastAsia="仿宋" w:cs="Times New Roman"/>
          <w:sz w:val="32"/>
          <w:szCs w:val="32"/>
          <w:lang w:val="en-US" w:eastAsia="zh-CN"/>
        </w:rPr>
        <w:t>企业资产质量、环境保护、经营状况发生重大变化</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不符合入库条件。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lang w:val="en-US" w:eastAsia="zh-CN"/>
        </w:rPr>
        <w:tab/>
      </w:r>
      <w:r>
        <w:rPr>
          <w:rFonts w:hint="default" w:ascii="Times New Roman" w:hAnsi="Times New Roman" w:eastAsia="仿宋" w:cs="Times New Roman"/>
          <w:sz w:val="32"/>
          <w:szCs w:val="32"/>
          <w:lang w:val="en-US" w:eastAsia="zh-CN"/>
        </w:rPr>
        <w:t>企业有重大违法违规行为。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lang w:val="en-US" w:eastAsia="zh-CN"/>
        </w:rPr>
        <w:tab/>
      </w:r>
      <w:r>
        <w:rPr>
          <w:rFonts w:hint="default" w:ascii="Times New Roman" w:hAnsi="Times New Roman" w:eastAsia="仿宋" w:cs="Times New Roman"/>
          <w:sz w:val="32"/>
          <w:szCs w:val="32"/>
          <w:lang w:val="en-US" w:eastAsia="zh-CN"/>
        </w:rPr>
        <w:t>企业已完成上市工作。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lang w:val="en-US" w:eastAsia="zh-CN"/>
        </w:rPr>
        <w:tab/>
      </w:r>
      <w:r>
        <w:rPr>
          <w:rFonts w:hint="default" w:ascii="Times New Roman" w:hAnsi="Times New Roman" w:eastAsia="仿宋" w:cs="Times New Roman"/>
          <w:sz w:val="32"/>
          <w:szCs w:val="32"/>
          <w:lang w:val="en-US" w:eastAsia="zh-CN"/>
        </w:rPr>
        <w:t>其他不符合纳入后备企业资源库的情况。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第九条</w:t>
      </w:r>
      <w:r>
        <w:rPr>
          <w:rFonts w:hint="default" w:ascii="Times New Roman" w:hAnsi="Times New Roman" w:eastAsia="仿宋" w:cs="Times New Roman"/>
          <w:sz w:val="32"/>
          <w:szCs w:val="32"/>
          <w:lang w:val="en-US" w:eastAsia="zh-CN"/>
        </w:rPr>
        <w:t xml:space="preserve">  本办法自颁布之日起实施。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附件：沁阳市重点上市后备企业申报表</w:t>
      </w:r>
    </w:p>
    <w:p>
      <w:pP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br w:type="page"/>
      </w: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jc w:val="center"/>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沁阳市重点上市后备企业申报表</w:t>
      </w:r>
    </w:p>
    <w:p>
      <w:pPr>
        <w:jc w:val="left"/>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填表单位：（盖章）                        填报时间：</w:t>
      </w:r>
    </w:p>
    <w:tbl>
      <w:tblPr>
        <w:tblStyle w:val="2"/>
        <w:tblW w:w="8970" w:type="dxa"/>
        <w:jc w:val="center"/>
        <w:tblLayout w:type="fixed"/>
        <w:tblCellMar>
          <w:top w:w="0" w:type="dxa"/>
          <w:left w:w="10" w:type="dxa"/>
          <w:bottom w:w="0" w:type="dxa"/>
          <w:right w:w="10" w:type="dxa"/>
        </w:tblCellMar>
      </w:tblPr>
      <w:tblGrid>
        <w:gridCol w:w="2029"/>
        <w:gridCol w:w="654"/>
        <w:gridCol w:w="1224"/>
        <w:gridCol w:w="1934"/>
        <w:gridCol w:w="1459"/>
        <w:gridCol w:w="1670"/>
      </w:tblGrid>
      <w:tr>
        <w:tblPrEx>
          <w:tblCellMar>
            <w:top w:w="0" w:type="dxa"/>
            <w:left w:w="10" w:type="dxa"/>
            <w:bottom w:w="0" w:type="dxa"/>
            <w:right w:w="10" w:type="dxa"/>
          </w:tblCellMar>
        </w:tblPrEx>
        <w:trPr>
          <w:trHeight w:val="619" w:hRule="exact"/>
          <w:jc w:val="center"/>
        </w:trPr>
        <w:tc>
          <w:tcPr>
            <w:tcW w:w="2029"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4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企业名称</w:t>
            </w:r>
          </w:p>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（全称）</w:t>
            </w:r>
          </w:p>
        </w:tc>
        <w:tc>
          <w:tcPr>
            <w:tcW w:w="1878" w:type="dxa"/>
            <w:gridSpan w:val="2"/>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组织机构代码</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475" w:hRule="exact"/>
          <w:jc w:val="center"/>
        </w:trPr>
        <w:tc>
          <w:tcPr>
            <w:tcW w:w="2029"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注册地址</w:t>
            </w:r>
          </w:p>
        </w:tc>
        <w:tc>
          <w:tcPr>
            <w:tcW w:w="1878" w:type="dxa"/>
            <w:gridSpan w:val="2"/>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办公地址</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485" w:hRule="exact"/>
          <w:jc w:val="center"/>
        </w:trPr>
        <w:tc>
          <w:tcPr>
            <w:tcW w:w="2029"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480"/>
              <w:jc w:val="left"/>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成立时间</w:t>
            </w:r>
          </w:p>
        </w:tc>
        <w:tc>
          <w:tcPr>
            <w:tcW w:w="1878" w:type="dxa"/>
            <w:gridSpan w:val="2"/>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股份公司设立时间</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2029" w:type="dxa"/>
            <w:vMerge w:val="restar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法定代表人</w:t>
            </w:r>
          </w:p>
        </w:tc>
        <w:tc>
          <w:tcPr>
            <w:tcW w:w="654" w:type="dxa"/>
            <w:vMerge w:val="restart"/>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办公电话</w:t>
            </w: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移动电话</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0" w:hRule="exact"/>
          <w:jc w:val="center"/>
        </w:trPr>
        <w:tc>
          <w:tcPr>
            <w:tcW w:w="2029"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654" w:type="dxa"/>
            <w:vMerge w:val="continue"/>
            <w:tcBorders>
              <w:left w:val="single" w:color="auto" w:sz="4" w:space="0"/>
            </w:tcBorders>
            <w:shd w:val="clear" w:color="auto" w:fill="FFFFFF"/>
            <w:vAlign w:val="top"/>
          </w:tcPr>
          <w:p>
            <w:pPr>
              <w:rPr>
                <w:rFonts w:hint="default" w:ascii="Times New Roman" w:hAnsi="Times New Roman" w:cs="Times New Roman"/>
              </w:rPr>
            </w:pPr>
          </w:p>
        </w:tc>
        <w:tc>
          <w:tcPr>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身份证号码</w:t>
            </w: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电子邮箱</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0" w:hRule="exact"/>
          <w:jc w:val="center"/>
        </w:trPr>
        <w:tc>
          <w:tcPr>
            <w:tcW w:w="2029" w:type="dxa"/>
            <w:vMerge w:val="restart"/>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02" w:lineRule="exact"/>
              <w:ind w:left="0" w:right="0" w:firstLine="0"/>
              <w:jc w:val="center"/>
              <w:rPr>
                <w:rFonts w:hint="default" w:ascii="Times New Roman" w:hAnsi="Times New Roman" w:cs="Times New Roman"/>
                <w:color w:val="000000"/>
                <w:spacing w:val="0"/>
                <w:w w:val="100"/>
                <w:position w:val="0"/>
                <w:sz w:val="22"/>
                <w:szCs w:val="22"/>
              </w:rPr>
            </w:pPr>
            <w:r>
              <w:rPr>
                <w:rFonts w:hint="default" w:ascii="Times New Roman" w:hAnsi="Times New Roman" w:cs="Times New Roman"/>
                <w:color w:val="000000"/>
                <w:spacing w:val="0"/>
                <w:w w:val="100"/>
                <w:position w:val="0"/>
                <w:sz w:val="22"/>
                <w:szCs w:val="22"/>
              </w:rPr>
              <w:t>上市/挂牌工作</w:t>
            </w:r>
          </w:p>
          <w:p>
            <w:pPr>
              <w:pStyle w:val="4"/>
              <w:keepNext w:val="0"/>
              <w:keepLines w:val="0"/>
              <w:widowControl w:val="0"/>
              <w:shd w:val="clear" w:color="auto" w:fill="auto"/>
              <w:bidi w:val="0"/>
              <w:spacing w:before="0" w:after="0" w:line="302" w:lineRule="exact"/>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联系人</w:t>
            </w:r>
          </w:p>
        </w:tc>
        <w:tc>
          <w:tcPr>
            <w:tcW w:w="654" w:type="dxa"/>
            <w:vMerge w:val="restart"/>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办公电话</w:t>
            </w: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移动电话</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0" w:hRule="exact"/>
          <w:jc w:val="center"/>
        </w:trPr>
        <w:tc>
          <w:tcPr>
            <w:tcW w:w="2029" w:type="dxa"/>
            <w:vMerge w:val="continue"/>
            <w:tcBorders>
              <w:left w:val="single" w:color="auto" w:sz="4" w:space="0"/>
            </w:tcBorders>
            <w:shd w:val="clear" w:color="auto" w:fill="FFFFFF"/>
            <w:vAlign w:val="top"/>
          </w:tcPr>
          <w:p>
            <w:pPr>
              <w:rPr>
                <w:rFonts w:hint="default" w:ascii="Times New Roman" w:hAnsi="Times New Roman" w:cs="Times New Roman"/>
              </w:rPr>
            </w:pPr>
          </w:p>
        </w:tc>
        <w:tc>
          <w:tcPr>
            <w:tcW w:w="654" w:type="dxa"/>
            <w:vMerge w:val="continue"/>
            <w:tcBorders>
              <w:left w:val="single" w:color="auto" w:sz="4" w:space="0"/>
            </w:tcBorders>
            <w:shd w:val="clear" w:color="auto" w:fill="FFFFFF"/>
            <w:vAlign w:val="top"/>
          </w:tcPr>
          <w:p>
            <w:pPr>
              <w:rPr>
                <w:rFonts w:hint="default" w:ascii="Times New Roman" w:hAnsi="Times New Roman" w:cs="Times New Roman"/>
              </w:rPr>
            </w:pPr>
          </w:p>
        </w:tc>
        <w:tc>
          <w:tcPr>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传真</w:t>
            </w: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电子邮箱</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485" w:hRule="exact"/>
          <w:jc w:val="center"/>
        </w:trPr>
        <w:tc>
          <w:tcPr>
            <w:tcW w:w="2029"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所属行业</w:t>
            </w:r>
          </w:p>
        </w:tc>
        <w:tc>
          <w:tcPr>
            <w:tcW w:w="3812" w:type="dxa"/>
            <w:gridSpan w:val="3"/>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职工人数</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485" w:hRule="exact"/>
          <w:jc w:val="center"/>
        </w:trPr>
        <w:tc>
          <w:tcPr>
            <w:tcW w:w="2029"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企业性质</w:t>
            </w:r>
          </w:p>
        </w:tc>
        <w:tc>
          <w:tcPr>
            <w:tcW w:w="6941" w:type="dxa"/>
            <w:gridSpan w:val="5"/>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□国有 □民营 □集体 □外商投资 □其他（国有控股）</w:t>
            </w:r>
          </w:p>
        </w:tc>
      </w:tr>
      <w:tr>
        <w:tblPrEx>
          <w:tblCellMar>
            <w:top w:w="0" w:type="dxa"/>
            <w:left w:w="10" w:type="dxa"/>
            <w:bottom w:w="0" w:type="dxa"/>
            <w:right w:w="10" w:type="dxa"/>
          </w:tblCellMar>
        </w:tblPrEx>
        <w:trPr>
          <w:trHeight w:val="595" w:hRule="exact"/>
          <w:jc w:val="center"/>
        </w:trPr>
        <w:tc>
          <w:tcPr>
            <w:tcW w:w="2029"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480"/>
              <w:jc w:val="left"/>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主营业务</w:t>
            </w:r>
          </w:p>
        </w:tc>
        <w:tc>
          <w:tcPr>
            <w:tcW w:w="6941" w:type="dxa"/>
            <w:gridSpan w:val="5"/>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610" w:hRule="exact"/>
          <w:jc w:val="center"/>
        </w:trPr>
        <w:tc>
          <w:tcPr>
            <w:tcW w:w="2029"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93" w:lineRule="exact"/>
              <w:ind w:left="0" w:right="0" w:firstLine="0"/>
              <w:jc w:val="center"/>
              <w:rPr>
                <w:rFonts w:hint="default" w:ascii="Times New Roman" w:hAnsi="Times New Roman" w:cs="Times New Roman"/>
                <w:color w:val="000000"/>
                <w:spacing w:val="0"/>
                <w:w w:val="100"/>
                <w:position w:val="0"/>
                <w:sz w:val="22"/>
                <w:szCs w:val="22"/>
              </w:rPr>
            </w:pPr>
            <w:r>
              <w:rPr>
                <w:rFonts w:hint="default" w:ascii="Times New Roman" w:hAnsi="Times New Roman" w:cs="Times New Roman"/>
                <w:color w:val="000000"/>
                <w:spacing w:val="0"/>
                <w:w w:val="100"/>
                <w:position w:val="0"/>
                <w:sz w:val="22"/>
                <w:szCs w:val="22"/>
              </w:rPr>
              <w:t>股本或实收资本</w:t>
            </w:r>
          </w:p>
          <w:p>
            <w:pPr>
              <w:pStyle w:val="4"/>
              <w:keepNext w:val="0"/>
              <w:keepLines w:val="0"/>
              <w:widowControl w:val="0"/>
              <w:shd w:val="clear" w:color="auto" w:fill="auto"/>
              <w:bidi w:val="0"/>
              <w:spacing w:before="0" w:after="0" w:line="293" w:lineRule="exact"/>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金额（万元）</w:t>
            </w:r>
          </w:p>
        </w:tc>
        <w:tc>
          <w:tcPr>
            <w:tcW w:w="1878" w:type="dxa"/>
            <w:gridSpan w:val="2"/>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实际控制人</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607" w:hRule="exact"/>
          <w:jc w:val="center"/>
        </w:trPr>
        <w:tc>
          <w:tcPr>
            <w:tcW w:w="2029"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02" w:lineRule="exact"/>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股份公司 设立方式</w:t>
            </w:r>
          </w:p>
        </w:tc>
        <w:tc>
          <w:tcPr>
            <w:tcW w:w="6941" w:type="dxa"/>
            <w:gridSpan w:val="5"/>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口有限责任公司整体变更 □新设 □其他：</w:t>
            </w:r>
            <w:r>
              <w:rPr>
                <w:rFonts w:hint="default" w:ascii="Times New Roman" w:hAnsi="Times New Roman" w:cs="Times New Roman"/>
                <w:color w:val="000000"/>
                <w:spacing w:val="0"/>
                <w:w w:val="100"/>
                <w:position w:val="0"/>
                <w:sz w:val="22"/>
                <w:szCs w:val="22"/>
                <w:lang w:val="zh-CN" w:eastAsia="zh-CN" w:bidi="zh-CN"/>
              </w:rPr>
              <w:t>—</w:t>
            </w:r>
          </w:p>
        </w:tc>
      </w:tr>
      <w:tr>
        <w:tblPrEx>
          <w:tblCellMar>
            <w:top w:w="0" w:type="dxa"/>
            <w:left w:w="10" w:type="dxa"/>
            <w:bottom w:w="0" w:type="dxa"/>
            <w:right w:w="10" w:type="dxa"/>
          </w:tblCellMar>
        </w:tblPrEx>
        <w:trPr>
          <w:trHeight w:val="365" w:hRule="exact"/>
          <w:jc w:val="center"/>
        </w:trPr>
        <w:tc>
          <w:tcPr>
            <w:tcW w:w="2029" w:type="dxa"/>
            <w:vMerge w:val="restar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480"/>
              <w:jc w:val="left"/>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股权结构</w:t>
            </w:r>
          </w:p>
        </w:tc>
        <w:tc>
          <w:tcPr>
            <w:tcW w:w="1878" w:type="dxa"/>
            <w:gridSpan w:val="2"/>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股东名称</w:t>
            </w:r>
          </w:p>
        </w:tc>
        <w:tc>
          <w:tcPr>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持股金额（万股）</w:t>
            </w:r>
          </w:p>
        </w:tc>
        <w:tc>
          <w:tcPr>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持股比例</w:t>
            </w:r>
          </w:p>
        </w:tc>
        <w:tc>
          <w:tcPr>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所有制性质</w:t>
            </w:r>
          </w:p>
        </w:tc>
      </w:tr>
      <w:tr>
        <w:tblPrEx>
          <w:tblCellMar>
            <w:top w:w="0" w:type="dxa"/>
            <w:left w:w="10" w:type="dxa"/>
            <w:bottom w:w="0" w:type="dxa"/>
            <w:right w:w="10" w:type="dxa"/>
          </w:tblCellMar>
        </w:tblPrEx>
        <w:trPr>
          <w:trHeight w:val="365" w:hRule="exact"/>
          <w:jc w:val="center"/>
        </w:trPr>
        <w:tc>
          <w:tcPr>
            <w:tcW w:w="2029"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878" w:type="dxa"/>
            <w:gridSpan w:val="2"/>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5" w:hRule="exact"/>
          <w:jc w:val="center"/>
        </w:trPr>
        <w:tc>
          <w:tcPr>
            <w:tcW w:w="2029"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878" w:type="dxa"/>
            <w:gridSpan w:val="2"/>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0" w:hRule="exact"/>
          <w:jc w:val="center"/>
        </w:trPr>
        <w:tc>
          <w:tcPr>
            <w:tcW w:w="2029"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878" w:type="dxa"/>
            <w:gridSpan w:val="2"/>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5" w:hRule="exact"/>
          <w:jc w:val="center"/>
        </w:trPr>
        <w:tc>
          <w:tcPr>
            <w:tcW w:w="2029" w:type="dxa"/>
            <w:vMerge w:val="restar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480"/>
              <w:jc w:val="left"/>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营业收入</w:t>
            </w:r>
          </w:p>
        </w:tc>
        <w:tc>
          <w:tcPr>
            <w:tcW w:w="1878" w:type="dxa"/>
            <w:gridSpan w:val="2"/>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eastAsia="Times New Roman" w:cs="Times New Roman"/>
                <w:color w:val="000000"/>
                <w:spacing w:val="0"/>
                <w:w w:val="100"/>
                <w:position w:val="0"/>
                <w:sz w:val="24"/>
                <w:szCs w:val="24"/>
              </w:rPr>
              <w:t>201</w:t>
            </w:r>
            <w:r>
              <w:rPr>
                <w:rFonts w:hint="default" w:ascii="Times New Roman" w:hAnsi="Times New Roman" w:cs="Times New Roman"/>
                <w:color w:val="000000"/>
                <w:spacing w:val="0"/>
                <w:w w:val="100"/>
                <w:position w:val="0"/>
                <w:sz w:val="24"/>
                <w:szCs w:val="24"/>
                <w:lang w:val="en-US" w:eastAsia="zh-CN"/>
              </w:rPr>
              <w:t>8</w:t>
            </w:r>
            <w:r>
              <w:rPr>
                <w:rFonts w:hint="default" w:ascii="Times New Roman" w:hAnsi="Times New Roman" w:cs="Times New Roman"/>
                <w:color w:val="000000"/>
                <w:spacing w:val="0"/>
                <w:w w:val="100"/>
                <w:position w:val="0"/>
                <w:sz w:val="22"/>
                <w:szCs w:val="22"/>
              </w:rPr>
              <w:t>年度</w:t>
            </w:r>
          </w:p>
        </w:tc>
        <w:tc>
          <w:tcPr>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eastAsia="Times New Roman" w:cs="Times New Roman"/>
                <w:color w:val="000000"/>
                <w:spacing w:val="0"/>
                <w:w w:val="100"/>
                <w:position w:val="0"/>
                <w:sz w:val="24"/>
                <w:szCs w:val="24"/>
              </w:rPr>
              <w:t>201</w:t>
            </w:r>
            <w:r>
              <w:rPr>
                <w:rFonts w:hint="default" w:ascii="Times New Roman" w:hAnsi="Times New Roman" w:cs="Times New Roman"/>
                <w:color w:val="000000"/>
                <w:spacing w:val="0"/>
                <w:w w:val="100"/>
                <w:position w:val="0"/>
                <w:sz w:val="24"/>
                <w:szCs w:val="24"/>
                <w:lang w:val="en-US" w:eastAsia="zh-CN"/>
              </w:rPr>
              <w:t>9</w:t>
            </w:r>
            <w:r>
              <w:rPr>
                <w:rFonts w:hint="default" w:ascii="Times New Roman" w:hAnsi="Times New Roman" w:cs="Times New Roman"/>
                <w:color w:val="000000"/>
                <w:spacing w:val="0"/>
                <w:w w:val="100"/>
                <w:position w:val="0"/>
                <w:sz w:val="22"/>
                <w:szCs w:val="22"/>
              </w:rPr>
              <w:t>年度</w:t>
            </w:r>
          </w:p>
        </w:tc>
        <w:tc>
          <w:tcPr>
            <w:gridSpan w:val="2"/>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eastAsia="Times New Roman" w:cs="Times New Roman"/>
                <w:color w:val="000000"/>
                <w:spacing w:val="0"/>
                <w:w w:val="100"/>
                <w:position w:val="0"/>
                <w:sz w:val="24"/>
                <w:szCs w:val="24"/>
              </w:rPr>
              <w:t>20</w:t>
            </w:r>
            <w:r>
              <w:rPr>
                <w:rFonts w:hint="default" w:ascii="Times New Roman" w:hAnsi="Times New Roman" w:cs="Times New Roman"/>
                <w:color w:val="000000"/>
                <w:spacing w:val="0"/>
                <w:w w:val="100"/>
                <w:position w:val="0"/>
                <w:sz w:val="24"/>
                <w:szCs w:val="24"/>
                <w:lang w:val="en-US" w:eastAsia="zh-CN"/>
              </w:rPr>
              <w:t>20年度</w:t>
            </w:r>
          </w:p>
        </w:tc>
      </w:tr>
      <w:tr>
        <w:tblPrEx>
          <w:tblCellMar>
            <w:top w:w="0" w:type="dxa"/>
            <w:left w:w="10" w:type="dxa"/>
            <w:bottom w:w="0" w:type="dxa"/>
            <w:right w:w="10" w:type="dxa"/>
          </w:tblCellMar>
        </w:tblPrEx>
        <w:trPr>
          <w:trHeight w:val="360" w:hRule="exact"/>
          <w:jc w:val="center"/>
        </w:trPr>
        <w:tc>
          <w:tcPr>
            <w:tcW w:w="2029"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878" w:type="dxa"/>
            <w:gridSpan w:val="2"/>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5" w:hRule="exact"/>
          <w:jc w:val="center"/>
        </w:trPr>
        <w:tc>
          <w:tcPr>
            <w:tcW w:w="2029" w:type="dxa"/>
            <w:vMerge w:val="restar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净利润</w:t>
            </w:r>
          </w:p>
        </w:tc>
        <w:tc>
          <w:tcPr>
            <w:tcW w:w="1878" w:type="dxa"/>
            <w:gridSpan w:val="2"/>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22"/>
                <w:szCs w:val="22"/>
                <w:u w:val="none"/>
                <w:shd w:val="clear" w:color="auto" w:fill="auto"/>
                <w:lang w:val="zh-TW" w:eastAsia="zh-TW" w:bidi="zh-TW"/>
              </w:rPr>
            </w:pPr>
            <w:r>
              <w:rPr>
                <w:rFonts w:hint="default" w:ascii="Times New Roman" w:hAnsi="Times New Roman" w:eastAsia="Times New Roman" w:cs="Times New Roman"/>
                <w:color w:val="000000"/>
                <w:spacing w:val="0"/>
                <w:w w:val="100"/>
                <w:position w:val="0"/>
                <w:sz w:val="24"/>
                <w:szCs w:val="24"/>
              </w:rPr>
              <w:t>201</w:t>
            </w:r>
            <w:r>
              <w:rPr>
                <w:rFonts w:hint="default" w:ascii="Times New Roman" w:hAnsi="Times New Roman" w:cs="Times New Roman"/>
                <w:color w:val="000000"/>
                <w:spacing w:val="0"/>
                <w:w w:val="100"/>
                <w:position w:val="0"/>
                <w:sz w:val="24"/>
                <w:szCs w:val="24"/>
                <w:lang w:val="en-US" w:eastAsia="zh-CN"/>
              </w:rPr>
              <w:t>8</w:t>
            </w:r>
            <w:r>
              <w:rPr>
                <w:rFonts w:hint="default" w:ascii="Times New Roman" w:hAnsi="Times New Roman" w:cs="Times New Roman"/>
                <w:color w:val="000000"/>
                <w:spacing w:val="0"/>
                <w:w w:val="100"/>
                <w:position w:val="0"/>
                <w:sz w:val="22"/>
                <w:szCs w:val="22"/>
              </w:rPr>
              <w:t>年度</w:t>
            </w:r>
          </w:p>
        </w:tc>
        <w:tc>
          <w:tcPr>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22"/>
                <w:szCs w:val="22"/>
                <w:u w:val="none"/>
                <w:shd w:val="clear" w:color="auto" w:fill="auto"/>
                <w:lang w:val="zh-TW" w:eastAsia="zh-TW" w:bidi="zh-TW"/>
              </w:rPr>
            </w:pPr>
            <w:r>
              <w:rPr>
                <w:rFonts w:hint="default" w:ascii="Times New Roman" w:hAnsi="Times New Roman" w:eastAsia="Times New Roman" w:cs="Times New Roman"/>
                <w:color w:val="000000"/>
                <w:spacing w:val="0"/>
                <w:w w:val="100"/>
                <w:position w:val="0"/>
                <w:sz w:val="24"/>
                <w:szCs w:val="24"/>
              </w:rPr>
              <w:t>201</w:t>
            </w:r>
            <w:r>
              <w:rPr>
                <w:rFonts w:hint="default" w:ascii="Times New Roman" w:hAnsi="Times New Roman" w:cs="Times New Roman"/>
                <w:color w:val="000000"/>
                <w:spacing w:val="0"/>
                <w:w w:val="100"/>
                <w:position w:val="0"/>
                <w:sz w:val="24"/>
                <w:szCs w:val="24"/>
                <w:lang w:val="en-US" w:eastAsia="zh-CN"/>
              </w:rPr>
              <w:t>9</w:t>
            </w:r>
            <w:r>
              <w:rPr>
                <w:rFonts w:hint="default" w:ascii="Times New Roman" w:hAnsi="Times New Roman" w:cs="Times New Roman"/>
                <w:color w:val="000000"/>
                <w:spacing w:val="0"/>
                <w:w w:val="100"/>
                <w:position w:val="0"/>
                <w:sz w:val="22"/>
                <w:szCs w:val="22"/>
              </w:rPr>
              <w:t>年度</w:t>
            </w:r>
          </w:p>
        </w:tc>
        <w:tc>
          <w:tcPr>
            <w:gridSpan w:val="2"/>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22"/>
                <w:szCs w:val="22"/>
                <w:u w:val="none"/>
                <w:shd w:val="clear" w:color="auto" w:fill="auto"/>
                <w:lang w:val="zh-TW" w:eastAsia="zh-TW" w:bidi="zh-TW"/>
              </w:rPr>
            </w:pPr>
            <w:r>
              <w:rPr>
                <w:rFonts w:hint="default" w:ascii="Times New Roman" w:hAnsi="Times New Roman" w:eastAsia="Times New Roman" w:cs="Times New Roman"/>
                <w:color w:val="000000"/>
                <w:spacing w:val="0"/>
                <w:w w:val="100"/>
                <w:position w:val="0"/>
                <w:sz w:val="24"/>
                <w:szCs w:val="24"/>
              </w:rPr>
              <w:t>20</w:t>
            </w:r>
            <w:r>
              <w:rPr>
                <w:rFonts w:hint="default" w:ascii="Times New Roman" w:hAnsi="Times New Roman" w:cs="Times New Roman"/>
                <w:color w:val="000000"/>
                <w:spacing w:val="0"/>
                <w:w w:val="100"/>
                <w:position w:val="0"/>
                <w:sz w:val="24"/>
                <w:szCs w:val="24"/>
                <w:lang w:val="en-US" w:eastAsia="zh-CN"/>
              </w:rPr>
              <w:t>20年度</w:t>
            </w:r>
          </w:p>
        </w:tc>
      </w:tr>
      <w:tr>
        <w:tblPrEx>
          <w:tblCellMar>
            <w:top w:w="0" w:type="dxa"/>
            <w:left w:w="10" w:type="dxa"/>
            <w:bottom w:w="0" w:type="dxa"/>
            <w:right w:w="10" w:type="dxa"/>
          </w:tblCellMar>
        </w:tblPrEx>
        <w:trPr>
          <w:trHeight w:val="365" w:hRule="exact"/>
          <w:jc w:val="center"/>
        </w:trPr>
        <w:tc>
          <w:tcPr>
            <w:tcW w:w="2029"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878" w:type="dxa"/>
            <w:gridSpan w:val="2"/>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FFFFFF"/>
            <w:vAlign w:val="top"/>
          </w:tcPr>
          <w:p>
            <w:pPr>
              <w:widowControl w:val="0"/>
              <w:rPr>
                <w:rFonts w:hint="default" w:ascii="Times New Roman" w:hAnsi="Times New Roman" w:cs="Times New Roman"/>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607" w:hRule="exact"/>
          <w:jc w:val="center"/>
        </w:trPr>
        <w:tc>
          <w:tcPr>
            <w:tcW w:w="2029"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17" w:lineRule="exact"/>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是否引入战略投资者</w:t>
            </w:r>
          </w:p>
        </w:tc>
        <w:tc>
          <w:tcPr>
            <w:tcW w:w="1878" w:type="dxa"/>
            <w:gridSpan w:val="2"/>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□否</w:t>
            </w:r>
          </w:p>
        </w:tc>
        <w:tc>
          <w:tcPr>
            <w:gridSpan w:val="3"/>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口是：战略投资者持股比例</w:t>
            </w:r>
            <w:r>
              <w:rPr>
                <w:rFonts w:hint="default" w:ascii="Times New Roman" w:hAnsi="Times New Roman" w:cs="Times New Roman"/>
                <w:color w:val="000000"/>
                <w:spacing w:val="0"/>
                <w:w w:val="100"/>
                <w:position w:val="0"/>
                <w:sz w:val="22"/>
                <w:szCs w:val="22"/>
                <w:lang w:val="zh-CN" w:eastAsia="zh-CN" w:bidi="zh-CN"/>
              </w:rPr>
              <w:t>—</w:t>
            </w:r>
            <w:r>
              <w:rPr>
                <w:rFonts w:hint="default" w:ascii="Times New Roman" w:hAnsi="Times New Roman" w:cs="Times New Roman"/>
                <w:color w:val="000000"/>
                <w:spacing w:val="0"/>
                <w:w w:val="100"/>
                <w:position w:val="0"/>
                <w:sz w:val="22"/>
                <w:szCs w:val="22"/>
              </w:rPr>
              <w:t>％</w:t>
            </w:r>
          </w:p>
        </w:tc>
      </w:tr>
      <w:tr>
        <w:tblPrEx>
          <w:tblCellMar>
            <w:top w:w="0" w:type="dxa"/>
            <w:left w:w="10" w:type="dxa"/>
            <w:bottom w:w="0" w:type="dxa"/>
            <w:right w:w="10" w:type="dxa"/>
          </w:tblCellMar>
        </w:tblPrEx>
        <w:trPr>
          <w:trHeight w:val="725" w:hRule="exact"/>
          <w:jc w:val="center"/>
        </w:trPr>
        <w:tc>
          <w:tcPr>
            <w:tcW w:w="2029"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98" w:lineRule="exact"/>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是否为 高科技企业</w:t>
            </w:r>
          </w:p>
        </w:tc>
        <w:tc>
          <w:tcPr>
            <w:tcW w:w="6941" w:type="dxa"/>
            <w:gridSpan w:val="5"/>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□国家级高科技企业□否□其他类型：</w:t>
            </w:r>
            <w:r>
              <w:rPr>
                <w:rFonts w:hint="default" w:ascii="Times New Roman" w:hAnsi="Times New Roman" w:cs="Times New Roman"/>
                <w:color w:val="000000"/>
                <w:spacing w:val="0"/>
                <w:w w:val="100"/>
                <w:position w:val="0"/>
                <w:sz w:val="22"/>
                <w:szCs w:val="22"/>
                <w:lang w:val="zh-CN" w:eastAsia="zh-CN" w:bidi="zh-CN"/>
              </w:rPr>
              <w:t>—</w:t>
            </w:r>
          </w:p>
        </w:tc>
      </w:tr>
      <w:tr>
        <w:tblPrEx>
          <w:tblCellMar>
            <w:top w:w="0" w:type="dxa"/>
            <w:left w:w="10" w:type="dxa"/>
            <w:bottom w:w="0" w:type="dxa"/>
            <w:right w:w="10" w:type="dxa"/>
          </w:tblCellMar>
        </w:tblPrEx>
        <w:trPr>
          <w:trHeight w:val="370" w:hRule="exact"/>
          <w:jc w:val="center"/>
        </w:trPr>
        <w:tc>
          <w:tcPr>
            <w:tcW w:w="2029" w:type="dxa"/>
            <w:vMerge w:val="restar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主要产品</w:t>
            </w:r>
          </w:p>
        </w:tc>
        <w:tc>
          <w:tcPr>
            <w:tcW w:w="1878" w:type="dxa"/>
            <w:gridSpan w:val="2"/>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产品名称及用途</w:t>
            </w:r>
          </w:p>
        </w:tc>
        <w:tc>
          <w:tcPr>
            <w:gridSpan w:val="3"/>
            <w:tcBorders>
              <w:top w:val="single" w:color="auto" w:sz="4" w:space="0"/>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产品市场潜力、优势及在全国市场占有率描述</w:t>
            </w:r>
          </w:p>
        </w:tc>
      </w:tr>
      <w:tr>
        <w:tblPrEx>
          <w:tblCellMar>
            <w:top w:w="0" w:type="dxa"/>
            <w:left w:w="10" w:type="dxa"/>
            <w:bottom w:w="0" w:type="dxa"/>
            <w:right w:w="10" w:type="dxa"/>
          </w:tblCellMar>
        </w:tblPrEx>
        <w:trPr>
          <w:trHeight w:val="619" w:hRule="exact"/>
          <w:jc w:val="center"/>
        </w:trPr>
        <w:tc>
          <w:tcPr>
            <w:tcW w:w="2029" w:type="dxa"/>
            <w:vMerge w:val="continue"/>
            <w:tcBorders>
              <w:left w:val="single" w:color="auto" w:sz="4" w:space="0"/>
              <w:bottom w:val="single" w:color="auto" w:sz="4" w:space="0"/>
            </w:tcBorders>
            <w:shd w:val="clear" w:color="auto" w:fill="FFFFFF"/>
            <w:vAlign w:val="center"/>
          </w:tcPr>
          <w:p>
            <w:pPr>
              <w:rPr>
                <w:rFonts w:hint="default" w:ascii="Times New Roman" w:hAnsi="Times New Roman" w:cs="Times New Roman"/>
              </w:rPr>
            </w:pPr>
          </w:p>
        </w:tc>
        <w:tc>
          <w:tcPr>
            <w:tcW w:w="1878" w:type="dxa"/>
            <w:gridSpan w:val="2"/>
            <w:tcBorders>
              <w:top w:val="single" w:color="auto" w:sz="4" w:space="0"/>
              <w:left w:val="single" w:color="auto" w:sz="4" w:space="0"/>
              <w:bottom w:val="single" w:color="auto" w:sz="4" w:space="0"/>
            </w:tcBorders>
            <w:shd w:val="clear" w:color="auto" w:fill="FFFFFF"/>
            <w:vAlign w:val="top"/>
          </w:tcPr>
          <w:p>
            <w:pPr>
              <w:widowControl w:val="0"/>
              <w:rPr>
                <w:rFonts w:hint="default" w:ascii="Times New Roman" w:hAnsi="Times New Roman" w:cs="Times New Roman"/>
                <w:sz w:val="10"/>
                <w:szCs w:val="10"/>
              </w:rPr>
            </w:pP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default" w:ascii="Times New Roman" w:hAnsi="Times New Roman" w:cs="Times New Roman"/>
                <w:sz w:val="10"/>
                <w:szCs w:val="10"/>
              </w:rPr>
            </w:pPr>
          </w:p>
        </w:tc>
      </w:tr>
    </w:tbl>
    <w:p>
      <w:pPr>
        <w:jc w:val="center"/>
        <w:rPr>
          <w:rFonts w:hint="default" w:ascii="Times New Roman" w:hAnsi="Times New Roman" w:eastAsia="黑体" w:cs="Times New Roman"/>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64DDB"/>
    <w:rsid w:val="03F57C04"/>
    <w:rsid w:val="08EA3B6B"/>
    <w:rsid w:val="0A49555C"/>
    <w:rsid w:val="0F464DDB"/>
    <w:rsid w:val="117A20AC"/>
    <w:rsid w:val="11A03997"/>
    <w:rsid w:val="12333846"/>
    <w:rsid w:val="15086359"/>
    <w:rsid w:val="16320FFB"/>
    <w:rsid w:val="17CE05F3"/>
    <w:rsid w:val="18927E39"/>
    <w:rsid w:val="1E8537C1"/>
    <w:rsid w:val="2A787251"/>
    <w:rsid w:val="2C0E1C70"/>
    <w:rsid w:val="2C783CC9"/>
    <w:rsid w:val="30653919"/>
    <w:rsid w:val="33555BEB"/>
    <w:rsid w:val="351C65CF"/>
    <w:rsid w:val="3AA8177E"/>
    <w:rsid w:val="421B1506"/>
    <w:rsid w:val="47313189"/>
    <w:rsid w:val="48BF6092"/>
    <w:rsid w:val="4AB903A6"/>
    <w:rsid w:val="4AEC03E1"/>
    <w:rsid w:val="5287434B"/>
    <w:rsid w:val="5800119F"/>
    <w:rsid w:val="5FFD2E41"/>
    <w:rsid w:val="603F2B61"/>
    <w:rsid w:val="684E46AE"/>
    <w:rsid w:val="6B944322"/>
    <w:rsid w:val="6D69742F"/>
    <w:rsid w:val="71180480"/>
    <w:rsid w:val="79FB3A11"/>
    <w:rsid w:val="7B493B53"/>
    <w:rsid w:val="7BBF717B"/>
    <w:rsid w:val="7C7D1065"/>
    <w:rsid w:val="7E956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Other|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2021-02-26T04:03:00Z</dcterms:created>
  <dc:creator>木文</dc:creator>
  <cp:lastModifiedBy>WPS_1526979416</cp:lastModifiedBy>
  <dcterms:modified xsi:type="dcterms:W3CDTF">2021-03-12T03:00:57Z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53EC7F1A21A8439283329B83FE2D6A38</vt:lpwstr>
  </property>
</Properties>
</file>